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E096F" w14:textId="73295834" w:rsidR="008942D3" w:rsidRPr="008942D3" w:rsidRDefault="008942D3">
      <w:pPr>
        <w:rPr>
          <w:rFonts w:ascii="Times New Roman" w:hAnsi="Times New Roman" w:cs="Times New Roman"/>
          <w:sz w:val="66"/>
        </w:rPr>
      </w:pPr>
      <w:r>
        <w:rPr>
          <w:rFonts w:ascii="Times New Roman" w:hAnsi="Times New Roman" w:cs="Times New Roman"/>
          <w:b/>
          <w:bCs/>
          <w:noProof/>
          <w:sz w:val="66"/>
        </w:rPr>
        <w:drawing>
          <wp:anchor distT="0" distB="0" distL="114300" distR="114300" simplePos="0" relativeHeight="251658240" behindDoc="0" locked="0" layoutInCell="1" allowOverlap="1" wp14:anchorId="03133874" wp14:editId="4B17627D">
            <wp:simplePos x="0" y="0"/>
            <wp:positionH relativeFrom="margin">
              <wp:align>left</wp:align>
            </wp:positionH>
            <wp:positionV relativeFrom="paragraph">
              <wp:posOffset>728345</wp:posOffset>
            </wp:positionV>
            <wp:extent cx="6823075" cy="4695825"/>
            <wp:effectExtent l="19050" t="19050" r="15875" b="9525"/>
            <wp:wrapSquare wrapText="bothSides"/>
            <wp:docPr id="306447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4574" cy="4737991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66"/>
        </w:rPr>
        <w:t xml:space="preserve">                       </w:t>
      </w:r>
      <w:r w:rsidRPr="008942D3">
        <w:rPr>
          <w:rFonts w:ascii="Times New Roman" w:hAnsi="Times New Roman" w:cs="Times New Roman"/>
          <w:b/>
          <w:bCs/>
          <w:sz w:val="66"/>
        </w:rPr>
        <w:t>CSI Revere</w:t>
      </w:r>
      <w:r w:rsidRPr="008942D3">
        <w:rPr>
          <w:rFonts w:ascii="Times New Roman" w:hAnsi="Times New Roman" w:cs="Times New Roman"/>
          <w:sz w:val="66"/>
        </w:rPr>
        <w:br/>
      </w:r>
      <w:r>
        <w:rPr>
          <w:rFonts w:ascii="Times New Roman" w:hAnsi="Times New Roman" w:cs="Times New Roman"/>
          <w:sz w:val="66"/>
        </w:rPr>
        <w:br/>
      </w:r>
      <w:r w:rsidRPr="008942D3">
        <w:rPr>
          <w:rFonts w:ascii="Times New Roman" w:hAnsi="Times New Roman" w:cs="Times New Roman"/>
          <w:b/>
          <w:bCs/>
          <w:sz w:val="60"/>
        </w:rPr>
        <w:t>Revere’s side occupation of dentistry led him to being involved in what has been deemed one of the earliest examples of forensics techniques used to identify a buried, decomposed body.</w:t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 w:rsidRPr="008942D3">
        <w:rPr>
          <w:rFonts w:ascii="Times New Roman" w:hAnsi="Times New Roman" w:cs="Times New Roman"/>
          <w:b/>
          <w:bCs/>
          <w:sz w:val="60"/>
        </w:rPr>
        <w:lastRenderedPageBreak/>
        <w:t xml:space="preserve">General Joseph Warren had died at the Battle of Bunker Hill and was buried in a mass grave along with numerous colonial soldiers that had also fallen in the battle. Revere noted prior to the search and eventual excavation of Warren’s body the details of a dental plate that he had made for Warren. </w:t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 w:rsidRPr="008942D3">
        <w:rPr>
          <w:rFonts w:ascii="Times New Roman" w:hAnsi="Times New Roman" w:cs="Times New Roman"/>
          <w:b/>
          <w:bCs/>
          <w:sz w:val="60"/>
        </w:rPr>
        <w:t xml:space="preserve">When the body believed to be Warren’s was located and exhumed, the dental plate Revere had described was indeed found to match Revere’s description (with Revere himself making a visual identification.) </w:t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 w:rsidRPr="008942D3">
        <w:rPr>
          <w:rFonts w:ascii="Times New Roman" w:hAnsi="Times New Roman" w:cs="Times New Roman"/>
          <w:b/>
          <w:bCs/>
          <w:sz w:val="60"/>
        </w:rPr>
        <w:t xml:space="preserve">Warren was subsequently briefly buried in a tomb here at the Granary, then moved to a crypt down Tremont Street at </w:t>
      </w:r>
      <w:r w:rsidRPr="008942D3">
        <w:rPr>
          <w:rFonts w:ascii="Times New Roman" w:hAnsi="Times New Roman" w:cs="Times New Roman"/>
          <w:b/>
          <w:bCs/>
          <w:sz w:val="60"/>
        </w:rPr>
        <w:lastRenderedPageBreak/>
        <w:t>St. Paul’s church and eventually moved one more time to his final resting place in Forest Hills Cemetery, a few miles away.</w:t>
      </w:r>
    </w:p>
    <w:sectPr w:rsidR="008942D3" w:rsidRPr="008942D3" w:rsidSect="008942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D3"/>
    <w:rsid w:val="0089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6EFEC1B"/>
  <w15:chartTrackingRefBased/>
  <w15:docId w15:val="{D39E01C1-3889-4050-9E63-2C1E97CA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1</cp:revision>
  <dcterms:created xsi:type="dcterms:W3CDTF">2023-11-09T04:56:00Z</dcterms:created>
  <dcterms:modified xsi:type="dcterms:W3CDTF">2023-11-09T05:01:00Z</dcterms:modified>
</cp:coreProperties>
</file>