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CAD4C" w14:textId="361FC2CA" w:rsidR="004F4257" w:rsidRPr="00CC3BE8" w:rsidRDefault="000B3BD7" w:rsidP="004F4257">
      <w:pPr>
        <w:rPr>
          <w:rFonts w:ascii="Times New Roman" w:hAnsi="Times New Roman" w:cs="Times New Roman"/>
          <w:b/>
          <w:bCs/>
          <w:sz w:val="60"/>
        </w:rPr>
      </w:pPr>
      <w:r>
        <w:rPr>
          <w:rFonts w:ascii="Times New Roman" w:hAnsi="Times New Roman" w:cs="Times New Roman"/>
          <w:b/>
          <w:bCs/>
          <w:noProof/>
          <w:sz w:val="60"/>
        </w:rPr>
        <w:drawing>
          <wp:anchor distT="0" distB="0" distL="114300" distR="114300" simplePos="0" relativeHeight="251658240" behindDoc="0" locked="0" layoutInCell="1" allowOverlap="1" wp14:anchorId="5E1138ED" wp14:editId="5DD96FD7">
            <wp:simplePos x="0" y="0"/>
            <wp:positionH relativeFrom="margin">
              <wp:align>left</wp:align>
            </wp:positionH>
            <wp:positionV relativeFrom="paragraph">
              <wp:posOffset>723900</wp:posOffset>
            </wp:positionV>
            <wp:extent cx="6858000" cy="5143500"/>
            <wp:effectExtent l="38100" t="38100" r="38100" b="38100"/>
            <wp:wrapSquare wrapText="bothSides"/>
            <wp:docPr id="20706148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A1479B">
        <w:rPr>
          <w:rFonts w:ascii="Times New Roman" w:hAnsi="Times New Roman" w:cs="Times New Roman"/>
          <w:b/>
          <w:bCs/>
          <w:sz w:val="66"/>
        </w:rPr>
        <w:t xml:space="preserve">                        </w:t>
      </w:r>
      <w:r w:rsidR="004F4257" w:rsidRPr="00CC3BE8">
        <w:rPr>
          <w:rFonts w:ascii="Times New Roman" w:hAnsi="Times New Roman" w:cs="Times New Roman"/>
          <w:b/>
          <w:bCs/>
          <w:sz w:val="66"/>
        </w:rPr>
        <w:t>Sod Couple</w:t>
      </w:r>
      <w:r w:rsidR="00A1479B">
        <w:rPr>
          <w:rFonts w:ascii="Times New Roman" w:hAnsi="Times New Roman" w:cs="Times New Roman"/>
          <w:b/>
          <w:bCs/>
          <w:sz w:val="66"/>
        </w:rPr>
        <w:br/>
      </w:r>
      <w:r w:rsidR="0014400E" w:rsidRPr="00CC3BE8">
        <w:rPr>
          <w:rFonts w:ascii="Times New Roman" w:hAnsi="Times New Roman" w:cs="Times New Roman"/>
          <w:b/>
          <w:bCs/>
          <w:sz w:val="60"/>
        </w:rPr>
        <w:br/>
      </w:r>
      <w:r w:rsidR="004F4257" w:rsidRPr="00CC3BE8">
        <w:rPr>
          <w:rFonts w:ascii="Times New Roman" w:hAnsi="Times New Roman" w:cs="Times New Roman"/>
          <w:b/>
          <w:bCs/>
          <w:sz w:val="60"/>
        </w:rPr>
        <w:t xml:space="preserve">Now turn around (not much choice is there?) and head straight down the long path towards the 18-ft tall Hancock memorial. About ten feet before the Hancock memorial take a gander to your </w:t>
      </w:r>
      <w:r w:rsidR="004F4257" w:rsidRPr="00CC3BE8">
        <w:rPr>
          <w:rFonts w:ascii="Times New Roman" w:hAnsi="Times New Roman" w:cs="Times New Roman"/>
          <w:b/>
          <w:bCs/>
          <w:sz w:val="60"/>
        </w:rPr>
        <w:lastRenderedPageBreak/>
        <w:t xml:space="preserve">right and you will see a white headstone that is locked in a permanent “tree hug” or as one guide confusingly puts it, “tree growing out of stone.” </w:t>
      </w:r>
      <w:proofErr w:type="gramStart"/>
      <w:r w:rsidR="004F4257" w:rsidRPr="00CC3BE8">
        <w:rPr>
          <w:rFonts w:ascii="Times New Roman" w:hAnsi="Times New Roman" w:cs="Times New Roman"/>
          <w:b/>
          <w:bCs/>
          <w:sz w:val="60"/>
        </w:rPr>
        <w:t>Interestingly enough the</w:t>
      </w:r>
      <w:proofErr w:type="gramEnd"/>
      <w:r w:rsidR="004F4257" w:rsidRPr="00CC3BE8">
        <w:rPr>
          <w:rFonts w:ascii="Times New Roman" w:hAnsi="Times New Roman" w:cs="Times New Roman"/>
          <w:b/>
          <w:bCs/>
          <w:sz w:val="60"/>
        </w:rPr>
        <w:t xml:space="preserve"> “bond” developed after the headstone had been fortified with the concrete shell.</w:t>
      </w:r>
    </w:p>
    <w:p w14:paraId="4CD12CDA" w14:textId="77777777" w:rsidR="004F4257" w:rsidRPr="00CC3BE8" w:rsidRDefault="004F4257" w:rsidP="004F4257">
      <w:pPr>
        <w:rPr>
          <w:rFonts w:ascii="Times New Roman" w:hAnsi="Times New Roman" w:cs="Times New Roman"/>
          <w:b/>
          <w:bCs/>
          <w:sz w:val="60"/>
        </w:rPr>
      </w:pPr>
    </w:p>
    <w:p w14:paraId="0FB284C9" w14:textId="77777777" w:rsidR="004F4257" w:rsidRPr="00CC3BE8" w:rsidRDefault="004F4257" w:rsidP="004F4257">
      <w:pPr>
        <w:rPr>
          <w:rFonts w:ascii="Times New Roman" w:hAnsi="Times New Roman" w:cs="Times New Roman"/>
          <w:b/>
          <w:bCs/>
          <w:sz w:val="60"/>
        </w:rPr>
      </w:pPr>
      <w:r w:rsidRPr="00CC3BE8">
        <w:rPr>
          <w:rFonts w:ascii="Times New Roman" w:hAnsi="Times New Roman" w:cs="Times New Roman"/>
          <w:b/>
          <w:bCs/>
          <w:sz w:val="60"/>
        </w:rPr>
        <w:t xml:space="preserve">The headstone is that of Adino Bulfinch, first generation patriarch of the accomplished Bulfinch clan. The most famous Bulfinch was Charles Bulfinch, a gentleman architect responsible for single-handedly designing Boston from 1787 to 1818 and perfecting his primary style that is now known as federalist architecture. His masterpiece, the 1798 Massachusetts State House, led to an </w:t>
      </w:r>
      <w:r w:rsidRPr="00CC3BE8">
        <w:rPr>
          <w:rFonts w:ascii="Times New Roman" w:hAnsi="Times New Roman" w:cs="Times New Roman"/>
          <w:b/>
          <w:bCs/>
          <w:sz w:val="60"/>
        </w:rPr>
        <w:lastRenderedPageBreak/>
        <w:t xml:space="preserve">appointment as chief architect of the US Capitol building in Washington, DC. </w:t>
      </w:r>
    </w:p>
    <w:p w14:paraId="4E9CC179" w14:textId="77777777" w:rsidR="004F4257" w:rsidRPr="00CC3BE8" w:rsidRDefault="004F4257" w:rsidP="004F4257">
      <w:pPr>
        <w:rPr>
          <w:rFonts w:ascii="Times New Roman" w:hAnsi="Times New Roman" w:cs="Times New Roman"/>
          <w:b/>
          <w:bCs/>
          <w:sz w:val="60"/>
        </w:rPr>
      </w:pPr>
    </w:p>
    <w:p w14:paraId="5004622E" w14:textId="6EB73079" w:rsidR="004F4257" w:rsidRPr="00CC3BE8" w:rsidRDefault="004F4257" w:rsidP="004F4257">
      <w:pPr>
        <w:rPr>
          <w:rFonts w:ascii="Times New Roman" w:hAnsi="Times New Roman" w:cs="Times New Roman"/>
          <w:b/>
          <w:bCs/>
          <w:sz w:val="60"/>
        </w:rPr>
      </w:pPr>
      <w:r w:rsidRPr="00CC3BE8">
        <w:rPr>
          <w:rFonts w:ascii="Times New Roman" w:hAnsi="Times New Roman" w:cs="Times New Roman"/>
          <w:b/>
          <w:bCs/>
          <w:sz w:val="60"/>
        </w:rPr>
        <w:t>By the way the name Bulfinch may have sounded familiar. The bar that inspired the classic sitcom Cheers! was for years named The Bull &amp; Finch but has since legally been changed to Cheers!</w:t>
      </w:r>
    </w:p>
    <w:p w14:paraId="687F5D2D" w14:textId="77777777" w:rsidR="00CC3BE8" w:rsidRPr="0014400E" w:rsidRDefault="00CC3BE8">
      <w:pPr>
        <w:rPr>
          <w:b/>
          <w:bCs/>
          <w:sz w:val="60"/>
        </w:rPr>
      </w:pPr>
    </w:p>
    <w:sectPr w:rsidR="00CC3BE8" w:rsidRPr="0014400E" w:rsidSect="00CC3B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257"/>
    <w:rsid w:val="000B3BD7"/>
    <w:rsid w:val="0014400E"/>
    <w:rsid w:val="004F4257"/>
    <w:rsid w:val="00794DDA"/>
    <w:rsid w:val="00A1479B"/>
    <w:rsid w:val="00CC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72B28"/>
  <w15:chartTrackingRefBased/>
  <w15:docId w15:val="{07D4FDE8-042F-4464-869E-BB2690DDA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 Cole</dc:creator>
  <cp:keywords/>
  <dc:description/>
  <cp:lastModifiedBy>JC Cole</cp:lastModifiedBy>
  <cp:revision>6</cp:revision>
  <dcterms:created xsi:type="dcterms:W3CDTF">2023-11-08T16:58:00Z</dcterms:created>
  <dcterms:modified xsi:type="dcterms:W3CDTF">2023-11-09T18:45:00Z</dcterms:modified>
</cp:coreProperties>
</file>